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D2" w:rsidRPr="009E77E0" w:rsidRDefault="009E2FD2" w:rsidP="009E2FD2">
      <w:pPr>
        <w:jc w:val="both"/>
        <w:rPr>
          <w:b/>
          <w:sz w:val="28"/>
        </w:rPr>
      </w:pPr>
      <w:r w:rsidRPr="009E77E0">
        <w:rPr>
          <w:b/>
          <w:sz w:val="28"/>
        </w:rPr>
        <w:t xml:space="preserve">FON AVCISI </w:t>
      </w:r>
    </w:p>
    <w:p w:rsidR="009E2FD2" w:rsidRPr="009E77E0" w:rsidRDefault="000D4BB0" w:rsidP="009E2FD2">
      <w:pPr>
        <w:spacing w:after="0"/>
        <w:jc w:val="both"/>
        <w:rPr>
          <w:b/>
          <w:sz w:val="24"/>
        </w:rPr>
      </w:pPr>
      <w:r>
        <w:rPr>
          <w:b/>
          <w:sz w:val="24"/>
        </w:rPr>
        <w:t>Prof</w:t>
      </w:r>
      <w:r w:rsidR="009E2FD2" w:rsidRPr="009E77E0">
        <w:rPr>
          <w:b/>
          <w:sz w:val="24"/>
        </w:rPr>
        <w:t>. Dr. Serra Eren Sarıoğlu</w:t>
      </w:r>
      <w:r w:rsidR="009E2FD2" w:rsidRPr="009E77E0">
        <w:rPr>
          <w:b/>
          <w:sz w:val="24"/>
        </w:rPr>
        <w:tab/>
      </w:r>
      <w:r w:rsidR="009E2FD2" w:rsidRPr="009E77E0">
        <w:rPr>
          <w:b/>
          <w:sz w:val="24"/>
        </w:rPr>
        <w:tab/>
      </w:r>
      <w:r w:rsidR="009E2FD2" w:rsidRPr="009E77E0">
        <w:rPr>
          <w:b/>
          <w:sz w:val="24"/>
        </w:rPr>
        <w:tab/>
      </w:r>
      <w:r w:rsidR="009E2FD2" w:rsidRPr="009E77E0">
        <w:rPr>
          <w:b/>
          <w:sz w:val="24"/>
        </w:rPr>
        <w:tab/>
      </w:r>
      <w:r w:rsidR="009E2FD2" w:rsidRPr="009E77E0">
        <w:rPr>
          <w:b/>
          <w:sz w:val="24"/>
        </w:rPr>
        <w:tab/>
      </w:r>
      <w:r w:rsidR="009E2FD2" w:rsidRPr="009E77E0">
        <w:rPr>
          <w:b/>
          <w:sz w:val="24"/>
        </w:rPr>
        <w:tab/>
      </w:r>
      <w:r w:rsidR="009E2FD2" w:rsidRPr="009E77E0">
        <w:rPr>
          <w:b/>
          <w:sz w:val="24"/>
        </w:rPr>
        <w:tab/>
      </w:r>
      <w:r w:rsidR="009E2FD2" w:rsidRPr="009E77E0">
        <w:rPr>
          <w:b/>
          <w:sz w:val="24"/>
        </w:rPr>
        <w:tab/>
      </w:r>
      <w:r w:rsidR="000B6184">
        <w:rPr>
          <w:b/>
          <w:sz w:val="24"/>
        </w:rPr>
        <w:t>3</w:t>
      </w:r>
      <w:r>
        <w:rPr>
          <w:b/>
          <w:sz w:val="24"/>
        </w:rPr>
        <w:t>0</w:t>
      </w:r>
      <w:r w:rsidR="00FC465E">
        <w:rPr>
          <w:b/>
          <w:sz w:val="24"/>
        </w:rPr>
        <w:t>.</w:t>
      </w:r>
      <w:r>
        <w:rPr>
          <w:b/>
          <w:sz w:val="24"/>
        </w:rPr>
        <w:t>0</w:t>
      </w:r>
      <w:r w:rsidR="000B6184">
        <w:rPr>
          <w:b/>
          <w:sz w:val="24"/>
        </w:rPr>
        <w:t>4</w:t>
      </w:r>
      <w:r w:rsidR="009E2FD2" w:rsidRPr="009E77E0">
        <w:rPr>
          <w:b/>
          <w:sz w:val="24"/>
        </w:rPr>
        <w:t>.20</w:t>
      </w:r>
      <w:r>
        <w:rPr>
          <w:b/>
          <w:sz w:val="24"/>
        </w:rPr>
        <w:t>20</w:t>
      </w:r>
    </w:p>
    <w:p w:rsidR="009E2FD2" w:rsidRPr="009E77E0" w:rsidRDefault="009E2FD2" w:rsidP="009E2FD2">
      <w:pPr>
        <w:spacing w:after="0"/>
        <w:jc w:val="both"/>
        <w:rPr>
          <w:b/>
          <w:sz w:val="28"/>
        </w:rPr>
      </w:pPr>
      <w:r w:rsidRPr="009E77E0">
        <w:rPr>
          <w:b/>
          <w:sz w:val="24"/>
        </w:rPr>
        <w:t>Ludens İleri Finansal Hiz.ve Dan</w:t>
      </w:r>
      <w:r w:rsidRPr="009E77E0">
        <w:rPr>
          <w:b/>
          <w:sz w:val="28"/>
        </w:rPr>
        <w:t xml:space="preserve">. </w:t>
      </w:r>
      <w:r w:rsidRPr="009E77E0">
        <w:rPr>
          <w:b/>
          <w:sz w:val="28"/>
        </w:rPr>
        <w:tab/>
      </w:r>
      <w:r w:rsidRPr="009E77E0">
        <w:rPr>
          <w:b/>
          <w:sz w:val="28"/>
        </w:rPr>
        <w:tab/>
      </w:r>
      <w:r w:rsidRPr="009E77E0">
        <w:rPr>
          <w:b/>
          <w:sz w:val="28"/>
        </w:rPr>
        <w:tab/>
      </w:r>
      <w:r w:rsidRPr="009E77E0">
        <w:rPr>
          <w:b/>
          <w:sz w:val="28"/>
        </w:rPr>
        <w:tab/>
      </w:r>
    </w:p>
    <w:p w:rsidR="00945565" w:rsidRDefault="00945565" w:rsidP="00945565">
      <w:pPr>
        <w:spacing w:after="0" w:line="240" w:lineRule="auto"/>
        <w:jc w:val="center"/>
        <w:rPr>
          <w:b/>
          <w:sz w:val="28"/>
        </w:rPr>
      </w:pPr>
    </w:p>
    <w:p w:rsidR="00434EE4" w:rsidRDefault="00434EE4" w:rsidP="00945565">
      <w:pPr>
        <w:spacing w:after="0" w:line="240" w:lineRule="auto"/>
        <w:jc w:val="center"/>
        <w:rPr>
          <w:b/>
          <w:sz w:val="28"/>
        </w:rPr>
      </w:pPr>
    </w:p>
    <w:p w:rsidR="00945565" w:rsidRDefault="000B6184" w:rsidP="00945565">
      <w:pPr>
        <w:spacing w:after="0" w:line="240" w:lineRule="auto"/>
        <w:jc w:val="center"/>
        <w:rPr>
          <w:b/>
          <w:sz w:val="28"/>
        </w:rPr>
      </w:pPr>
      <w:r>
        <w:rPr>
          <w:b/>
          <w:sz w:val="28"/>
        </w:rPr>
        <w:t>COVID-19</w:t>
      </w:r>
      <w:r w:rsidR="000E7D8D">
        <w:rPr>
          <w:b/>
          <w:sz w:val="28"/>
        </w:rPr>
        <w:t xml:space="preserve"> ÖNCESİ VE SONRASI </w:t>
      </w:r>
      <w:r>
        <w:rPr>
          <w:b/>
          <w:sz w:val="28"/>
        </w:rPr>
        <w:t>BES FONLARI</w:t>
      </w:r>
    </w:p>
    <w:p w:rsidR="00945565" w:rsidRDefault="00945565" w:rsidP="00945565">
      <w:pPr>
        <w:spacing w:after="0" w:line="240" w:lineRule="auto"/>
        <w:jc w:val="center"/>
        <w:rPr>
          <w:b/>
          <w:sz w:val="28"/>
        </w:rPr>
      </w:pPr>
    </w:p>
    <w:p w:rsidR="00463B5A" w:rsidRDefault="00B31447" w:rsidP="00CC138C">
      <w:pPr>
        <w:jc w:val="both"/>
        <w:rPr>
          <w:sz w:val="24"/>
          <w:szCs w:val="24"/>
        </w:rPr>
      </w:pPr>
      <w:r>
        <w:rPr>
          <w:sz w:val="24"/>
          <w:szCs w:val="24"/>
        </w:rPr>
        <w:t>İsmini duyalı 4 ay, hayatımıza gireli neredeyse 2 ay oldu koronanın</w:t>
      </w:r>
      <w:r w:rsidR="00CC138C">
        <w:rPr>
          <w:sz w:val="24"/>
          <w:szCs w:val="24"/>
        </w:rPr>
        <w:t>.</w:t>
      </w:r>
      <w:r>
        <w:rPr>
          <w:sz w:val="24"/>
          <w:szCs w:val="24"/>
        </w:rPr>
        <w:t xml:space="preserve"> Yaşam şekillerimizi, çalışma düzenimizi, her şeyimizi bir anda değiştirdi. Sadece bizi değil, tüm dünyayı etkisi altına aldı.</w:t>
      </w:r>
      <w:r w:rsidR="0084317D">
        <w:rPr>
          <w:sz w:val="24"/>
          <w:szCs w:val="24"/>
        </w:rPr>
        <w:t xml:space="preserve"> Şirketler faaliyetlerine ara verdi, kimisi tamamen sektörden çekilirken, kimisi de dönüşümlü çalışmaya başladı. </w:t>
      </w:r>
      <w:r w:rsidR="005B22C3">
        <w:rPr>
          <w:sz w:val="24"/>
          <w:szCs w:val="24"/>
        </w:rPr>
        <w:t>Yatırım araçlarının fiyatları filmlerde gördüğümüz gibi çılgınca bir aşağı bir yukarı hareket etmeye başladı.</w:t>
      </w:r>
      <w:r>
        <w:rPr>
          <w:sz w:val="24"/>
          <w:szCs w:val="24"/>
        </w:rPr>
        <w:t xml:space="preserve"> Dünya </w:t>
      </w:r>
      <w:r w:rsidR="0084317D">
        <w:rPr>
          <w:sz w:val="24"/>
          <w:szCs w:val="24"/>
        </w:rPr>
        <w:t>hisse senedi</w:t>
      </w:r>
      <w:r>
        <w:rPr>
          <w:sz w:val="24"/>
          <w:szCs w:val="24"/>
        </w:rPr>
        <w:t xml:space="preserve"> piyasaları </w:t>
      </w:r>
      <w:r w:rsidR="0084317D">
        <w:rPr>
          <w:sz w:val="24"/>
          <w:szCs w:val="24"/>
        </w:rPr>
        <w:t xml:space="preserve">bir ay içinde </w:t>
      </w:r>
      <w:r>
        <w:rPr>
          <w:sz w:val="24"/>
          <w:szCs w:val="24"/>
        </w:rPr>
        <w:t>ortalama olarak</w:t>
      </w:r>
      <w:r w:rsidR="0084317D">
        <w:rPr>
          <w:sz w:val="24"/>
          <w:szCs w:val="24"/>
        </w:rPr>
        <w:t xml:space="preserve"> % 30 civarında değer kaybetti.</w:t>
      </w:r>
      <w:r w:rsidR="00463B5A">
        <w:rPr>
          <w:sz w:val="24"/>
          <w:szCs w:val="24"/>
        </w:rPr>
        <w:t xml:space="preserve"> Altınla dövizi tutabilene aşk olsun.. </w:t>
      </w:r>
    </w:p>
    <w:p w:rsidR="00B845E5" w:rsidRPr="00B845E5" w:rsidRDefault="00B845E5" w:rsidP="00CC138C">
      <w:pPr>
        <w:jc w:val="both"/>
        <w:rPr>
          <w:b/>
          <w:i/>
          <w:sz w:val="24"/>
          <w:szCs w:val="24"/>
          <w:u w:val="single"/>
        </w:rPr>
      </w:pPr>
      <w:r w:rsidRPr="00B845E5">
        <w:rPr>
          <w:b/>
          <w:i/>
          <w:sz w:val="24"/>
          <w:szCs w:val="24"/>
          <w:u w:val="single"/>
        </w:rPr>
        <w:t>Korona Bizim Piyasalarımızı da Vurdu</w:t>
      </w:r>
    </w:p>
    <w:p w:rsidR="006F71F2" w:rsidRDefault="00463B5A" w:rsidP="00CC138C">
      <w:pPr>
        <w:jc w:val="both"/>
        <w:rPr>
          <w:sz w:val="24"/>
          <w:szCs w:val="24"/>
        </w:rPr>
      </w:pPr>
      <w:r>
        <w:rPr>
          <w:sz w:val="24"/>
          <w:szCs w:val="24"/>
        </w:rPr>
        <w:t>Bizim borsamız da Mart ayında tarihinin belki de en yüksek değer kayıplarından birini yaşadı: % 2</w:t>
      </w:r>
      <w:r w:rsidR="006F71F2">
        <w:rPr>
          <w:sz w:val="24"/>
          <w:szCs w:val="24"/>
        </w:rPr>
        <w:t>3!</w:t>
      </w:r>
      <w:r>
        <w:rPr>
          <w:sz w:val="24"/>
          <w:szCs w:val="24"/>
        </w:rPr>
        <w:t xml:space="preserve"> 2020 yılına başlarken büyük umutlarla endeksin 130 binlere varacağı konuşulurken, birden 85 binleri gördük. </w:t>
      </w:r>
      <w:r w:rsidR="006F71F2">
        <w:rPr>
          <w:sz w:val="24"/>
          <w:szCs w:val="24"/>
        </w:rPr>
        <w:t xml:space="preserve">Çeyrek altın 562 TL’ye, Dolar 6,6’a ve Euro 7,20’ye dayandı. </w:t>
      </w:r>
    </w:p>
    <w:p w:rsidR="00FF1311" w:rsidRDefault="006F71F2" w:rsidP="00CC138C">
      <w:pPr>
        <w:jc w:val="both"/>
        <w:rPr>
          <w:sz w:val="24"/>
          <w:szCs w:val="24"/>
        </w:rPr>
      </w:pPr>
      <w:r>
        <w:rPr>
          <w:sz w:val="24"/>
          <w:szCs w:val="24"/>
        </w:rPr>
        <w:t>Ancak Nisan ayıyla birlikte kayıplar telafi edilmeye başlandı.</w:t>
      </w:r>
      <w:r w:rsidR="00204F0F">
        <w:rPr>
          <w:sz w:val="24"/>
          <w:szCs w:val="24"/>
        </w:rPr>
        <w:t xml:space="preserve"> Borsa kaybettiğinin yarısını Nisan’da geri kazandı. </w:t>
      </w:r>
      <w:r w:rsidR="009473C3" w:rsidRPr="009473C3">
        <w:rPr>
          <w:sz w:val="24"/>
          <w:szCs w:val="24"/>
        </w:rPr>
        <w:t xml:space="preserve">Pandemi krizinde gelinen son noktaya baktığımızda, dünyada bazı ülkeler yavaş yavaş normalleşme süreçlerini başlatıyorlar. Almanya, İsrail ve İtalya kademeli olarak iş yerlerini açmaya başlıyorlar. Türkiye olarak henüz biz bu noktada değiliz, önümüzde Ramazan var. </w:t>
      </w:r>
      <w:r w:rsidR="00A80829">
        <w:rPr>
          <w:sz w:val="24"/>
          <w:szCs w:val="24"/>
        </w:rPr>
        <w:t>Tahminler bizim de</w:t>
      </w:r>
      <w:r w:rsidR="009473C3" w:rsidRPr="009473C3">
        <w:rPr>
          <w:sz w:val="24"/>
          <w:szCs w:val="24"/>
        </w:rPr>
        <w:t xml:space="preserve"> Ramazan bayramı sonrasında kademeli olarak normal hayata </w:t>
      </w:r>
      <w:r w:rsidR="00A80829">
        <w:rPr>
          <w:sz w:val="24"/>
          <w:szCs w:val="24"/>
        </w:rPr>
        <w:t>geçeceğimiz yönünde</w:t>
      </w:r>
      <w:r w:rsidR="009473C3" w:rsidRPr="009473C3">
        <w:rPr>
          <w:sz w:val="24"/>
          <w:szCs w:val="24"/>
        </w:rPr>
        <w:t xml:space="preserve">. </w:t>
      </w:r>
      <w:r w:rsidR="00A80829">
        <w:rPr>
          <w:sz w:val="24"/>
          <w:szCs w:val="24"/>
        </w:rPr>
        <w:t xml:space="preserve">28 Nisan’da yapılan </w:t>
      </w:r>
      <w:r w:rsidR="009473C3" w:rsidRPr="009473C3">
        <w:rPr>
          <w:sz w:val="24"/>
          <w:szCs w:val="24"/>
        </w:rPr>
        <w:t>Finansal İstikrar Komitesi toplantı</w:t>
      </w:r>
      <w:r w:rsidR="00A80829">
        <w:rPr>
          <w:sz w:val="24"/>
          <w:szCs w:val="24"/>
        </w:rPr>
        <w:t>sın</w:t>
      </w:r>
      <w:r w:rsidR="009473C3" w:rsidRPr="009473C3">
        <w:rPr>
          <w:sz w:val="24"/>
          <w:szCs w:val="24"/>
        </w:rPr>
        <w:t xml:space="preserve">da </w:t>
      </w:r>
      <w:r w:rsidR="00A80829">
        <w:rPr>
          <w:sz w:val="24"/>
          <w:szCs w:val="24"/>
        </w:rPr>
        <w:t xml:space="preserve">da </w:t>
      </w:r>
      <w:r w:rsidR="009473C3" w:rsidRPr="009473C3">
        <w:rPr>
          <w:sz w:val="24"/>
          <w:szCs w:val="24"/>
        </w:rPr>
        <w:t>bu yönde bir mesaj ver</w:t>
      </w:r>
      <w:r w:rsidR="00A80829">
        <w:rPr>
          <w:sz w:val="24"/>
          <w:szCs w:val="24"/>
        </w:rPr>
        <w:t>il</w:t>
      </w:r>
      <w:r w:rsidR="009473C3" w:rsidRPr="009473C3">
        <w:rPr>
          <w:sz w:val="24"/>
          <w:szCs w:val="24"/>
        </w:rPr>
        <w:t>di. Tabii bu da finansal piyasaların yükselmesi anlamına gelecek.</w:t>
      </w:r>
    </w:p>
    <w:p w:rsidR="00B845E5" w:rsidRPr="003A7134" w:rsidRDefault="00DD6727" w:rsidP="00CC138C">
      <w:pPr>
        <w:jc w:val="both"/>
        <w:rPr>
          <w:b/>
          <w:i/>
          <w:sz w:val="24"/>
          <w:szCs w:val="24"/>
          <w:u w:val="single"/>
        </w:rPr>
      </w:pPr>
      <w:r>
        <w:rPr>
          <w:b/>
          <w:i/>
          <w:sz w:val="24"/>
          <w:szCs w:val="24"/>
          <w:u w:val="single"/>
        </w:rPr>
        <w:t>BES’ten Çıkış Oldu mu?</w:t>
      </w:r>
    </w:p>
    <w:p w:rsidR="003A7134" w:rsidRDefault="00C733CA" w:rsidP="00CC138C">
      <w:pPr>
        <w:jc w:val="both"/>
        <w:rPr>
          <w:sz w:val="24"/>
          <w:szCs w:val="24"/>
        </w:rPr>
      </w:pPr>
      <w:r>
        <w:rPr>
          <w:sz w:val="24"/>
          <w:szCs w:val="24"/>
        </w:rPr>
        <w:t>Korona krizinin çalışanlar açısından etkisi oldukça yüksek. Kimi çalışanların gelirler</w:t>
      </w:r>
      <w:r w:rsidR="00F66019">
        <w:rPr>
          <w:sz w:val="24"/>
          <w:szCs w:val="24"/>
        </w:rPr>
        <w:t>i</w:t>
      </w:r>
      <w:r>
        <w:rPr>
          <w:sz w:val="24"/>
          <w:szCs w:val="24"/>
        </w:rPr>
        <w:t xml:space="preserve"> azaldı,</w:t>
      </w:r>
      <w:r w:rsidR="00F66019">
        <w:rPr>
          <w:sz w:val="24"/>
          <w:szCs w:val="24"/>
        </w:rPr>
        <w:t xml:space="preserve"> kimilerininki </w:t>
      </w:r>
      <w:r>
        <w:rPr>
          <w:sz w:val="24"/>
          <w:szCs w:val="24"/>
        </w:rPr>
        <w:t xml:space="preserve">düzensizleşti. Ücretsiz izin kullananların ise bu dönemde herhangi bir gelirleri yok maalesef. Hal böyle olunca, </w:t>
      </w:r>
      <w:r w:rsidR="00E36CE1">
        <w:rPr>
          <w:sz w:val="24"/>
          <w:szCs w:val="24"/>
        </w:rPr>
        <w:t>kişiler kenarda duran BES birikimlerini bozdurmuşlar mıdır, BES’ten çıkışlar olmuş mudur sorusu akla geliyor. Kimi mecralarda bu yönde bilgilendirmeler olsa da, biz yine de rakamlara bakalım dedik; doğrusunu onlar söyler. Emeklilik Gözetim Merkezi verilerin</w:t>
      </w:r>
      <w:r w:rsidR="00F66019">
        <w:rPr>
          <w:sz w:val="24"/>
          <w:szCs w:val="24"/>
        </w:rPr>
        <w:t>i</w:t>
      </w:r>
      <w:r w:rsidR="00E36CE1">
        <w:rPr>
          <w:sz w:val="24"/>
          <w:szCs w:val="24"/>
        </w:rPr>
        <w:t xml:space="preserve"> </w:t>
      </w:r>
      <w:r w:rsidR="00F66019">
        <w:rPr>
          <w:sz w:val="24"/>
          <w:szCs w:val="24"/>
        </w:rPr>
        <w:t>incelediğimizde</w:t>
      </w:r>
      <w:r w:rsidR="00E36CE1">
        <w:rPr>
          <w:sz w:val="24"/>
          <w:szCs w:val="24"/>
        </w:rPr>
        <w:t>, sanılanın aksine</w:t>
      </w:r>
      <w:r w:rsidR="006C3D9B">
        <w:rPr>
          <w:sz w:val="24"/>
          <w:szCs w:val="24"/>
        </w:rPr>
        <w:t xml:space="preserve"> gerek Gönüllü tarafta gerekse de OKS tarafında </w:t>
      </w:r>
      <w:r w:rsidR="00F66019">
        <w:rPr>
          <w:sz w:val="24"/>
          <w:szCs w:val="24"/>
        </w:rPr>
        <w:t>bu dönemde BES katılımcı sayıların</w:t>
      </w:r>
      <w:r w:rsidR="00E36CE1">
        <w:rPr>
          <w:sz w:val="24"/>
          <w:szCs w:val="24"/>
        </w:rPr>
        <w:t>da artış var:</w:t>
      </w:r>
    </w:p>
    <w:tbl>
      <w:tblPr>
        <w:tblStyle w:val="KlavuzTablo5Koyu-Vurgu4"/>
        <w:tblW w:w="0" w:type="auto"/>
        <w:tblLook w:val="04A0" w:firstRow="1" w:lastRow="0" w:firstColumn="1" w:lastColumn="0" w:noHBand="0" w:noVBand="1"/>
      </w:tblPr>
      <w:tblGrid>
        <w:gridCol w:w="2265"/>
        <w:gridCol w:w="2265"/>
        <w:gridCol w:w="2266"/>
        <w:gridCol w:w="2266"/>
      </w:tblGrid>
      <w:tr w:rsidR="006C3D9B" w:rsidRPr="00035927" w:rsidTr="0003592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rsidR="006C3D9B" w:rsidRPr="00035927" w:rsidRDefault="006C3D9B" w:rsidP="00CC138C">
            <w:pPr>
              <w:jc w:val="both"/>
              <w:rPr>
                <w:szCs w:val="24"/>
              </w:rPr>
            </w:pPr>
          </w:p>
        </w:tc>
        <w:tc>
          <w:tcPr>
            <w:tcW w:w="2265" w:type="dxa"/>
          </w:tcPr>
          <w:p w:rsidR="006C3D9B" w:rsidRPr="00035927" w:rsidRDefault="006C3D9B" w:rsidP="006C3D9B">
            <w:pPr>
              <w:jc w:val="center"/>
              <w:cnfStyle w:val="100000000000" w:firstRow="1" w:lastRow="0" w:firstColumn="0" w:lastColumn="0" w:oddVBand="0" w:evenVBand="0" w:oddHBand="0" w:evenHBand="0" w:firstRowFirstColumn="0" w:firstRowLastColumn="0" w:lastRowFirstColumn="0" w:lastRowLastColumn="0"/>
              <w:rPr>
                <w:szCs w:val="24"/>
              </w:rPr>
            </w:pPr>
            <w:r w:rsidRPr="00035927">
              <w:rPr>
                <w:szCs w:val="24"/>
              </w:rPr>
              <w:t>31.12.2019</w:t>
            </w:r>
          </w:p>
        </w:tc>
        <w:tc>
          <w:tcPr>
            <w:tcW w:w="2266" w:type="dxa"/>
          </w:tcPr>
          <w:p w:rsidR="006C3D9B" w:rsidRPr="00035927" w:rsidRDefault="006C3D9B" w:rsidP="006C3D9B">
            <w:pPr>
              <w:jc w:val="center"/>
              <w:cnfStyle w:val="100000000000" w:firstRow="1" w:lastRow="0" w:firstColumn="0" w:lastColumn="0" w:oddVBand="0" w:evenVBand="0" w:oddHBand="0" w:evenHBand="0" w:firstRowFirstColumn="0" w:firstRowLastColumn="0" w:lastRowFirstColumn="0" w:lastRowLastColumn="0"/>
              <w:rPr>
                <w:szCs w:val="24"/>
              </w:rPr>
            </w:pPr>
            <w:r w:rsidRPr="00035927">
              <w:rPr>
                <w:szCs w:val="24"/>
              </w:rPr>
              <w:t>17.04.2020</w:t>
            </w:r>
          </w:p>
        </w:tc>
        <w:tc>
          <w:tcPr>
            <w:tcW w:w="2266" w:type="dxa"/>
          </w:tcPr>
          <w:p w:rsidR="006C3D9B" w:rsidRPr="00035927" w:rsidRDefault="006C3D9B" w:rsidP="006C3D9B">
            <w:pPr>
              <w:jc w:val="center"/>
              <w:cnfStyle w:val="100000000000" w:firstRow="1" w:lastRow="0" w:firstColumn="0" w:lastColumn="0" w:oddVBand="0" w:evenVBand="0" w:oddHBand="0" w:evenHBand="0" w:firstRowFirstColumn="0" w:firstRowLastColumn="0" w:lastRowFirstColumn="0" w:lastRowLastColumn="0"/>
              <w:rPr>
                <w:szCs w:val="24"/>
              </w:rPr>
            </w:pPr>
            <w:r w:rsidRPr="00035927">
              <w:rPr>
                <w:szCs w:val="24"/>
              </w:rPr>
              <w:t>Katılımcı Artış/Azalış</w:t>
            </w:r>
          </w:p>
        </w:tc>
      </w:tr>
      <w:tr w:rsidR="006C3D9B" w:rsidRPr="00035927" w:rsidTr="0003592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rsidR="006C3D9B" w:rsidRPr="00035927" w:rsidRDefault="006C3D9B" w:rsidP="00CC138C">
            <w:pPr>
              <w:jc w:val="both"/>
              <w:rPr>
                <w:szCs w:val="24"/>
              </w:rPr>
            </w:pPr>
            <w:r w:rsidRPr="00035927">
              <w:rPr>
                <w:szCs w:val="24"/>
              </w:rPr>
              <w:t>Gönüllü BES</w:t>
            </w:r>
          </w:p>
        </w:tc>
        <w:tc>
          <w:tcPr>
            <w:tcW w:w="2265" w:type="dxa"/>
          </w:tcPr>
          <w:p w:rsidR="006C3D9B" w:rsidRPr="00035927" w:rsidRDefault="0057139A" w:rsidP="006C3D9B">
            <w:pPr>
              <w:jc w:val="center"/>
              <w:cnfStyle w:val="000000100000" w:firstRow="0" w:lastRow="0" w:firstColumn="0" w:lastColumn="0" w:oddVBand="0" w:evenVBand="0" w:oddHBand="1" w:evenHBand="0" w:firstRowFirstColumn="0" w:firstRowLastColumn="0" w:lastRowFirstColumn="0" w:lastRowLastColumn="0"/>
              <w:rPr>
                <w:szCs w:val="24"/>
              </w:rPr>
            </w:pPr>
            <w:r w:rsidRPr="00035927">
              <w:rPr>
                <w:szCs w:val="24"/>
              </w:rPr>
              <w:t>6.871.132</w:t>
            </w:r>
          </w:p>
        </w:tc>
        <w:tc>
          <w:tcPr>
            <w:tcW w:w="2266" w:type="dxa"/>
          </w:tcPr>
          <w:p w:rsidR="006C3D9B" w:rsidRPr="00035927" w:rsidRDefault="0057139A" w:rsidP="006C3D9B">
            <w:pPr>
              <w:jc w:val="center"/>
              <w:cnfStyle w:val="000000100000" w:firstRow="0" w:lastRow="0" w:firstColumn="0" w:lastColumn="0" w:oddVBand="0" w:evenVBand="0" w:oddHBand="1" w:evenHBand="0" w:firstRowFirstColumn="0" w:firstRowLastColumn="0" w:lastRowFirstColumn="0" w:lastRowLastColumn="0"/>
              <w:rPr>
                <w:szCs w:val="24"/>
              </w:rPr>
            </w:pPr>
            <w:r w:rsidRPr="00035927">
              <w:rPr>
                <w:szCs w:val="24"/>
              </w:rPr>
              <w:t>6.887.160</w:t>
            </w:r>
          </w:p>
        </w:tc>
        <w:tc>
          <w:tcPr>
            <w:tcW w:w="2266" w:type="dxa"/>
          </w:tcPr>
          <w:p w:rsidR="006C3D9B" w:rsidRPr="00035927" w:rsidRDefault="0057139A" w:rsidP="006C3D9B">
            <w:pPr>
              <w:jc w:val="center"/>
              <w:cnfStyle w:val="000000100000" w:firstRow="0" w:lastRow="0" w:firstColumn="0" w:lastColumn="0" w:oddVBand="0" w:evenVBand="0" w:oddHBand="1" w:evenHBand="0" w:firstRowFirstColumn="0" w:firstRowLastColumn="0" w:lastRowFirstColumn="0" w:lastRowLastColumn="0"/>
              <w:rPr>
                <w:szCs w:val="24"/>
              </w:rPr>
            </w:pPr>
            <w:r w:rsidRPr="00035927">
              <w:rPr>
                <w:szCs w:val="24"/>
              </w:rPr>
              <w:t>16.028</w:t>
            </w:r>
          </w:p>
        </w:tc>
      </w:tr>
      <w:tr w:rsidR="006C3D9B" w:rsidRPr="00035927" w:rsidTr="00035927">
        <w:trPr>
          <w:trHeight w:val="340"/>
        </w:trPr>
        <w:tc>
          <w:tcPr>
            <w:cnfStyle w:val="001000000000" w:firstRow="0" w:lastRow="0" w:firstColumn="1" w:lastColumn="0" w:oddVBand="0" w:evenVBand="0" w:oddHBand="0" w:evenHBand="0" w:firstRowFirstColumn="0" w:firstRowLastColumn="0" w:lastRowFirstColumn="0" w:lastRowLastColumn="0"/>
            <w:tcW w:w="2265" w:type="dxa"/>
          </w:tcPr>
          <w:p w:rsidR="006C3D9B" w:rsidRPr="00035927" w:rsidRDefault="006C3D9B" w:rsidP="00CC138C">
            <w:pPr>
              <w:jc w:val="both"/>
              <w:rPr>
                <w:szCs w:val="24"/>
              </w:rPr>
            </w:pPr>
            <w:r w:rsidRPr="00035927">
              <w:rPr>
                <w:szCs w:val="24"/>
              </w:rPr>
              <w:t>OKS</w:t>
            </w:r>
          </w:p>
        </w:tc>
        <w:tc>
          <w:tcPr>
            <w:tcW w:w="2265" w:type="dxa"/>
          </w:tcPr>
          <w:p w:rsidR="006C3D9B" w:rsidRPr="00035927" w:rsidRDefault="0057139A" w:rsidP="006C3D9B">
            <w:pPr>
              <w:jc w:val="center"/>
              <w:cnfStyle w:val="000000000000" w:firstRow="0" w:lastRow="0" w:firstColumn="0" w:lastColumn="0" w:oddVBand="0" w:evenVBand="0" w:oddHBand="0" w:evenHBand="0" w:firstRowFirstColumn="0" w:firstRowLastColumn="0" w:lastRowFirstColumn="0" w:lastRowLastColumn="0"/>
              <w:rPr>
                <w:szCs w:val="24"/>
              </w:rPr>
            </w:pPr>
            <w:r w:rsidRPr="00035927">
              <w:rPr>
                <w:szCs w:val="24"/>
              </w:rPr>
              <w:t>5.354.242</w:t>
            </w:r>
          </w:p>
        </w:tc>
        <w:tc>
          <w:tcPr>
            <w:tcW w:w="2266" w:type="dxa"/>
          </w:tcPr>
          <w:p w:rsidR="006C3D9B" w:rsidRPr="00035927" w:rsidRDefault="0057139A" w:rsidP="006C3D9B">
            <w:pPr>
              <w:jc w:val="center"/>
              <w:cnfStyle w:val="000000000000" w:firstRow="0" w:lastRow="0" w:firstColumn="0" w:lastColumn="0" w:oddVBand="0" w:evenVBand="0" w:oddHBand="0" w:evenHBand="0" w:firstRowFirstColumn="0" w:firstRowLastColumn="0" w:lastRowFirstColumn="0" w:lastRowLastColumn="0"/>
              <w:rPr>
                <w:szCs w:val="24"/>
              </w:rPr>
            </w:pPr>
            <w:r w:rsidRPr="00035927">
              <w:rPr>
                <w:szCs w:val="24"/>
              </w:rPr>
              <w:t>5.464.671</w:t>
            </w:r>
          </w:p>
        </w:tc>
        <w:tc>
          <w:tcPr>
            <w:tcW w:w="2266" w:type="dxa"/>
          </w:tcPr>
          <w:p w:rsidR="006C3D9B" w:rsidRPr="00035927" w:rsidRDefault="0057139A" w:rsidP="006C3D9B">
            <w:pPr>
              <w:jc w:val="center"/>
              <w:cnfStyle w:val="000000000000" w:firstRow="0" w:lastRow="0" w:firstColumn="0" w:lastColumn="0" w:oddVBand="0" w:evenVBand="0" w:oddHBand="0" w:evenHBand="0" w:firstRowFirstColumn="0" w:firstRowLastColumn="0" w:lastRowFirstColumn="0" w:lastRowLastColumn="0"/>
              <w:rPr>
                <w:szCs w:val="24"/>
              </w:rPr>
            </w:pPr>
            <w:r w:rsidRPr="00035927">
              <w:rPr>
                <w:szCs w:val="24"/>
              </w:rPr>
              <w:t>110.429</w:t>
            </w:r>
          </w:p>
        </w:tc>
      </w:tr>
    </w:tbl>
    <w:p w:rsidR="00B845E5" w:rsidRDefault="00624D4B" w:rsidP="00CC138C">
      <w:pPr>
        <w:jc w:val="both"/>
        <w:rPr>
          <w:sz w:val="24"/>
          <w:szCs w:val="24"/>
        </w:rPr>
      </w:pPr>
      <w:r>
        <w:rPr>
          <w:sz w:val="24"/>
          <w:szCs w:val="24"/>
        </w:rPr>
        <w:lastRenderedPageBreak/>
        <w:t>Gönüllü tarafa yaklaşık 16 bin yeni katılımcı girmiş. OKS’ye ise 110 bin.</w:t>
      </w:r>
      <w:r w:rsidR="002111B9">
        <w:rPr>
          <w:sz w:val="24"/>
          <w:szCs w:val="24"/>
        </w:rPr>
        <w:t xml:space="preserve"> </w:t>
      </w:r>
      <w:r w:rsidR="00F503E3">
        <w:rPr>
          <w:sz w:val="24"/>
          <w:szCs w:val="24"/>
        </w:rPr>
        <w:t>Tabii çıkışlar muhakkak olmuştur ama bu rakamlar bize net durumu gösteriyor.</w:t>
      </w:r>
    </w:p>
    <w:p w:rsidR="00C9234D" w:rsidRPr="003A7134" w:rsidRDefault="00C9234D" w:rsidP="00C9234D">
      <w:pPr>
        <w:jc w:val="both"/>
        <w:rPr>
          <w:b/>
          <w:i/>
          <w:sz w:val="24"/>
          <w:szCs w:val="24"/>
          <w:u w:val="single"/>
        </w:rPr>
      </w:pPr>
      <w:r>
        <w:rPr>
          <w:b/>
          <w:i/>
          <w:sz w:val="24"/>
          <w:szCs w:val="24"/>
          <w:u w:val="single"/>
        </w:rPr>
        <w:t>Altın ve Hisse Emeklilik Fonuna Talep Arttı</w:t>
      </w:r>
    </w:p>
    <w:p w:rsidR="00C9234D" w:rsidRDefault="00770FE0" w:rsidP="00CC138C">
      <w:pPr>
        <w:jc w:val="both"/>
        <w:rPr>
          <w:sz w:val="24"/>
          <w:szCs w:val="24"/>
        </w:rPr>
      </w:pPr>
      <w:r>
        <w:rPr>
          <w:sz w:val="24"/>
          <w:szCs w:val="24"/>
        </w:rPr>
        <w:t xml:space="preserve">Bir de yatırım aracı tercihlerindeki değişimlere bakalım. </w:t>
      </w:r>
      <w:r w:rsidR="00C9234D">
        <w:rPr>
          <w:sz w:val="24"/>
          <w:szCs w:val="24"/>
        </w:rPr>
        <w:t>Altındaki yüksek değer kazançları, BES katılımcısını altın fonlarına yönlendirmiş midir?</w:t>
      </w:r>
    </w:p>
    <w:tbl>
      <w:tblPr>
        <w:tblStyle w:val="KlavuzTablo5Koyu-Vurgu4"/>
        <w:tblW w:w="0" w:type="auto"/>
        <w:tblLook w:val="04A0" w:firstRow="1" w:lastRow="0" w:firstColumn="1" w:lastColumn="0" w:noHBand="0" w:noVBand="1"/>
      </w:tblPr>
      <w:tblGrid>
        <w:gridCol w:w="2265"/>
        <w:gridCol w:w="2265"/>
        <w:gridCol w:w="2266"/>
        <w:gridCol w:w="2266"/>
      </w:tblGrid>
      <w:tr w:rsidR="007E6CC6" w:rsidRPr="00035927" w:rsidTr="00A50260">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rsidR="007E6CC6" w:rsidRPr="00035927" w:rsidRDefault="007E6CC6" w:rsidP="00A50260">
            <w:pPr>
              <w:jc w:val="both"/>
              <w:rPr>
                <w:szCs w:val="24"/>
              </w:rPr>
            </w:pPr>
          </w:p>
        </w:tc>
        <w:tc>
          <w:tcPr>
            <w:tcW w:w="2265" w:type="dxa"/>
          </w:tcPr>
          <w:p w:rsidR="007E6CC6" w:rsidRPr="00035927" w:rsidRDefault="007E6CC6" w:rsidP="00A50260">
            <w:pPr>
              <w:jc w:val="center"/>
              <w:cnfStyle w:val="100000000000" w:firstRow="1" w:lastRow="0" w:firstColumn="0" w:lastColumn="0" w:oddVBand="0" w:evenVBand="0" w:oddHBand="0" w:evenHBand="0" w:firstRowFirstColumn="0" w:firstRowLastColumn="0" w:lastRowFirstColumn="0" w:lastRowLastColumn="0"/>
              <w:rPr>
                <w:szCs w:val="24"/>
              </w:rPr>
            </w:pPr>
            <w:r w:rsidRPr="00035927">
              <w:rPr>
                <w:szCs w:val="24"/>
              </w:rPr>
              <w:t>31.12.2019</w:t>
            </w:r>
          </w:p>
        </w:tc>
        <w:tc>
          <w:tcPr>
            <w:tcW w:w="2266" w:type="dxa"/>
          </w:tcPr>
          <w:p w:rsidR="007E6CC6" w:rsidRPr="00035927" w:rsidRDefault="007E6CC6" w:rsidP="00A50260">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2</w:t>
            </w:r>
            <w:r w:rsidRPr="00035927">
              <w:rPr>
                <w:szCs w:val="24"/>
              </w:rPr>
              <w:t>7.04.2020</w:t>
            </w:r>
          </w:p>
        </w:tc>
        <w:tc>
          <w:tcPr>
            <w:tcW w:w="2266" w:type="dxa"/>
          </w:tcPr>
          <w:p w:rsidR="007E6CC6" w:rsidRPr="00035927" w:rsidRDefault="007E6CC6" w:rsidP="00A50260">
            <w:pPr>
              <w:jc w:val="center"/>
              <w:cnfStyle w:val="100000000000" w:firstRow="1" w:lastRow="0" w:firstColumn="0" w:lastColumn="0" w:oddVBand="0" w:evenVBand="0" w:oddHBand="0" w:evenHBand="0" w:firstRowFirstColumn="0" w:firstRowLastColumn="0" w:lastRowFirstColumn="0" w:lastRowLastColumn="0"/>
              <w:rPr>
                <w:szCs w:val="24"/>
              </w:rPr>
            </w:pPr>
            <w:r w:rsidRPr="00035927">
              <w:rPr>
                <w:szCs w:val="24"/>
              </w:rPr>
              <w:t>Katılımcı Artış/Azalış</w:t>
            </w:r>
            <w:r>
              <w:rPr>
                <w:szCs w:val="24"/>
              </w:rPr>
              <w:t xml:space="preserve"> (yüzdesel)</w:t>
            </w:r>
          </w:p>
        </w:tc>
      </w:tr>
      <w:tr w:rsidR="007E6CC6" w:rsidRPr="00035927" w:rsidTr="00A502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rsidR="007E6CC6" w:rsidRPr="00035927" w:rsidRDefault="007E6CC6" w:rsidP="00A50260">
            <w:pPr>
              <w:jc w:val="both"/>
              <w:rPr>
                <w:szCs w:val="24"/>
              </w:rPr>
            </w:pPr>
            <w:r>
              <w:rPr>
                <w:szCs w:val="24"/>
              </w:rPr>
              <w:t>Altın Emeklilik Fonları</w:t>
            </w:r>
          </w:p>
        </w:tc>
        <w:tc>
          <w:tcPr>
            <w:tcW w:w="2265"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747.514</w:t>
            </w:r>
          </w:p>
        </w:tc>
        <w:tc>
          <w:tcPr>
            <w:tcW w:w="2266"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812.096</w:t>
            </w:r>
          </w:p>
        </w:tc>
        <w:tc>
          <w:tcPr>
            <w:tcW w:w="2266"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9</w:t>
            </w:r>
          </w:p>
        </w:tc>
      </w:tr>
      <w:tr w:rsidR="007E6CC6" w:rsidRPr="00035927" w:rsidTr="00A50260">
        <w:trPr>
          <w:trHeight w:val="340"/>
        </w:trPr>
        <w:tc>
          <w:tcPr>
            <w:cnfStyle w:val="001000000000" w:firstRow="0" w:lastRow="0" w:firstColumn="1" w:lastColumn="0" w:oddVBand="0" w:evenVBand="0" w:oddHBand="0" w:evenHBand="0" w:firstRowFirstColumn="0" w:firstRowLastColumn="0" w:lastRowFirstColumn="0" w:lastRowLastColumn="0"/>
            <w:tcW w:w="2265" w:type="dxa"/>
          </w:tcPr>
          <w:p w:rsidR="007E6CC6" w:rsidRPr="00035927" w:rsidRDefault="007E6CC6" w:rsidP="007E6CC6">
            <w:pPr>
              <w:jc w:val="both"/>
              <w:rPr>
                <w:szCs w:val="24"/>
              </w:rPr>
            </w:pPr>
            <w:r>
              <w:rPr>
                <w:szCs w:val="24"/>
              </w:rPr>
              <w:t>Hisse Emeklilik Fonları</w:t>
            </w:r>
          </w:p>
        </w:tc>
        <w:tc>
          <w:tcPr>
            <w:tcW w:w="2265" w:type="dxa"/>
          </w:tcPr>
          <w:p w:rsidR="007E6CC6" w:rsidRPr="00035927" w:rsidRDefault="007E6CC6" w:rsidP="007E6CC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1.346.179</w:t>
            </w:r>
          </w:p>
        </w:tc>
        <w:tc>
          <w:tcPr>
            <w:tcW w:w="2266" w:type="dxa"/>
          </w:tcPr>
          <w:p w:rsidR="007E6CC6" w:rsidRPr="00035927" w:rsidRDefault="007E6CC6" w:rsidP="007E6CC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1.364.396</w:t>
            </w:r>
          </w:p>
        </w:tc>
        <w:tc>
          <w:tcPr>
            <w:tcW w:w="2266" w:type="dxa"/>
          </w:tcPr>
          <w:p w:rsidR="007E6CC6" w:rsidRPr="00035927" w:rsidRDefault="007E6CC6" w:rsidP="007E6CC6">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w:t>
            </w:r>
          </w:p>
        </w:tc>
      </w:tr>
      <w:tr w:rsidR="007E6CC6" w:rsidRPr="00035927" w:rsidTr="00A5026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65" w:type="dxa"/>
          </w:tcPr>
          <w:p w:rsidR="007E6CC6" w:rsidRDefault="007E6CC6" w:rsidP="00A50260">
            <w:pPr>
              <w:jc w:val="both"/>
              <w:rPr>
                <w:szCs w:val="24"/>
              </w:rPr>
            </w:pPr>
            <w:r>
              <w:rPr>
                <w:szCs w:val="24"/>
              </w:rPr>
              <w:t>Döviz Emeklilik Fonları</w:t>
            </w:r>
          </w:p>
        </w:tc>
        <w:tc>
          <w:tcPr>
            <w:tcW w:w="2265"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1.788.600</w:t>
            </w:r>
          </w:p>
        </w:tc>
        <w:tc>
          <w:tcPr>
            <w:tcW w:w="2266"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1.788.542</w:t>
            </w:r>
          </w:p>
        </w:tc>
        <w:tc>
          <w:tcPr>
            <w:tcW w:w="2266" w:type="dxa"/>
          </w:tcPr>
          <w:p w:rsidR="007E6CC6" w:rsidRPr="00035927" w:rsidRDefault="007E6CC6" w:rsidP="00A50260">
            <w:pPr>
              <w:jc w:val="center"/>
              <w:cnfStyle w:val="000000100000" w:firstRow="0" w:lastRow="0" w:firstColumn="0" w:lastColumn="0" w:oddVBand="0" w:evenVBand="0" w:oddHBand="1" w:evenHBand="0" w:firstRowFirstColumn="0" w:firstRowLastColumn="0" w:lastRowFirstColumn="0" w:lastRowLastColumn="0"/>
              <w:rPr>
                <w:szCs w:val="24"/>
              </w:rPr>
            </w:pPr>
            <w:r>
              <w:rPr>
                <w:szCs w:val="24"/>
              </w:rPr>
              <w:t>-0,3</w:t>
            </w:r>
          </w:p>
        </w:tc>
      </w:tr>
      <w:tr w:rsidR="007E6CC6" w:rsidRPr="00035927" w:rsidTr="00A50260">
        <w:trPr>
          <w:trHeight w:val="340"/>
        </w:trPr>
        <w:tc>
          <w:tcPr>
            <w:cnfStyle w:val="001000000000" w:firstRow="0" w:lastRow="0" w:firstColumn="1" w:lastColumn="0" w:oddVBand="0" w:evenVBand="0" w:oddHBand="0" w:evenHBand="0" w:firstRowFirstColumn="0" w:firstRowLastColumn="0" w:lastRowFirstColumn="0" w:lastRowLastColumn="0"/>
            <w:tcW w:w="2265" w:type="dxa"/>
          </w:tcPr>
          <w:p w:rsidR="007E6CC6" w:rsidRDefault="007E6CC6" w:rsidP="00A50260">
            <w:pPr>
              <w:jc w:val="both"/>
              <w:rPr>
                <w:szCs w:val="24"/>
              </w:rPr>
            </w:pPr>
            <w:r>
              <w:rPr>
                <w:szCs w:val="24"/>
              </w:rPr>
              <w:t>Tahvil Emeklilik Fonları</w:t>
            </w:r>
          </w:p>
        </w:tc>
        <w:tc>
          <w:tcPr>
            <w:tcW w:w="2265" w:type="dxa"/>
          </w:tcPr>
          <w:p w:rsidR="007E6CC6" w:rsidRPr="00035927" w:rsidRDefault="007E6CC6" w:rsidP="00A5026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1.394.808</w:t>
            </w:r>
          </w:p>
        </w:tc>
        <w:tc>
          <w:tcPr>
            <w:tcW w:w="2266" w:type="dxa"/>
          </w:tcPr>
          <w:p w:rsidR="007E6CC6" w:rsidRPr="00035927" w:rsidRDefault="007E6CC6" w:rsidP="00A5026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1.337.994</w:t>
            </w:r>
          </w:p>
        </w:tc>
        <w:tc>
          <w:tcPr>
            <w:tcW w:w="2266" w:type="dxa"/>
          </w:tcPr>
          <w:p w:rsidR="007E6CC6" w:rsidRPr="00035927" w:rsidRDefault="007E6CC6" w:rsidP="00A50260">
            <w:pPr>
              <w:jc w:val="center"/>
              <w:cnfStyle w:val="000000000000" w:firstRow="0" w:lastRow="0" w:firstColumn="0" w:lastColumn="0" w:oddVBand="0" w:evenVBand="0" w:oddHBand="0" w:evenHBand="0" w:firstRowFirstColumn="0" w:firstRowLastColumn="0" w:lastRowFirstColumn="0" w:lastRowLastColumn="0"/>
              <w:rPr>
                <w:szCs w:val="24"/>
              </w:rPr>
            </w:pPr>
            <w:r>
              <w:rPr>
                <w:szCs w:val="24"/>
              </w:rPr>
              <w:t>-4</w:t>
            </w:r>
          </w:p>
        </w:tc>
      </w:tr>
    </w:tbl>
    <w:p w:rsidR="00035927" w:rsidRDefault="00035927" w:rsidP="00CC138C">
      <w:pPr>
        <w:jc w:val="both"/>
        <w:rPr>
          <w:sz w:val="24"/>
          <w:szCs w:val="24"/>
        </w:rPr>
      </w:pPr>
    </w:p>
    <w:p w:rsidR="007E6CC6" w:rsidRDefault="007E6CC6" w:rsidP="00CC138C">
      <w:pPr>
        <w:jc w:val="both"/>
        <w:rPr>
          <w:sz w:val="24"/>
          <w:szCs w:val="24"/>
        </w:rPr>
      </w:pPr>
      <w:r>
        <w:rPr>
          <w:sz w:val="24"/>
          <w:szCs w:val="24"/>
        </w:rPr>
        <w:t xml:space="preserve">Tablodan da izlenebileceği gibi altındaki değer artışı katılımcıları altın emeklilik fonlarına yönlendirmiş. Bununla birlikte, düşen hisse senedi fiyatlarını fırsat olarak değerlendiren </w:t>
      </w:r>
      <w:r w:rsidR="00E123C1">
        <w:rPr>
          <w:sz w:val="24"/>
          <w:szCs w:val="24"/>
        </w:rPr>
        <w:t>katılımcılar da emeklilik planlarında hisse fonlarının payını arttırmışlar.</w:t>
      </w:r>
    </w:p>
    <w:p w:rsidR="00E84BA7" w:rsidRPr="003A7134" w:rsidRDefault="00E84BA7" w:rsidP="00E84BA7">
      <w:pPr>
        <w:jc w:val="both"/>
        <w:rPr>
          <w:b/>
          <w:i/>
          <w:sz w:val="24"/>
          <w:szCs w:val="24"/>
          <w:u w:val="single"/>
        </w:rPr>
      </w:pPr>
      <w:r>
        <w:rPr>
          <w:b/>
          <w:i/>
          <w:sz w:val="24"/>
          <w:szCs w:val="24"/>
          <w:u w:val="single"/>
        </w:rPr>
        <w:t>BES</w:t>
      </w:r>
      <w:r>
        <w:rPr>
          <w:b/>
          <w:i/>
          <w:sz w:val="24"/>
          <w:szCs w:val="24"/>
          <w:u w:val="single"/>
        </w:rPr>
        <w:t xml:space="preserve"> Fonlarının Getirilerine Korona Etkisi</w:t>
      </w:r>
    </w:p>
    <w:p w:rsidR="00F503E3" w:rsidRDefault="00A94BDE" w:rsidP="00CC138C">
      <w:pPr>
        <w:jc w:val="both"/>
        <w:rPr>
          <w:sz w:val="24"/>
          <w:szCs w:val="24"/>
        </w:rPr>
      </w:pPr>
      <w:r>
        <w:rPr>
          <w:sz w:val="24"/>
          <w:szCs w:val="24"/>
        </w:rPr>
        <w:t xml:space="preserve">BES fonlarının koronadan nasıl etkilendiğine </w:t>
      </w:r>
      <w:r w:rsidR="00E60D4E">
        <w:rPr>
          <w:sz w:val="24"/>
          <w:szCs w:val="24"/>
        </w:rPr>
        <w:t xml:space="preserve">31.12.2019 - </w:t>
      </w:r>
      <w:r>
        <w:rPr>
          <w:sz w:val="24"/>
          <w:szCs w:val="24"/>
        </w:rPr>
        <w:t xml:space="preserve">27 Nisan 2020 </w:t>
      </w:r>
      <w:r w:rsidR="00E60D4E">
        <w:rPr>
          <w:sz w:val="24"/>
          <w:szCs w:val="24"/>
        </w:rPr>
        <w:t xml:space="preserve">dönemi </w:t>
      </w:r>
      <w:r>
        <w:rPr>
          <w:sz w:val="24"/>
          <w:szCs w:val="24"/>
        </w:rPr>
        <w:t>itibariyle bakalım. Sene başıyla karşılaştırdığımızda hangi fon türleri ne kadar kazandırmış, hangileri ne kaybettirmiş</w:t>
      </w:r>
      <w:r w:rsidR="00F66136">
        <w:rPr>
          <w:sz w:val="24"/>
          <w:szCs w:val="24"/>
        </w:rPr>
        <w:t>,</w:t>
      </w:r>
      <w:r w:rsidR="0050234C">
        <w:rPr>
          <w:sz w:val="24"/>
          <w:szCs w:val="24"/>
        </w:rPr>
        <w:t xml:space="preserve"> aşağıdaki tabloda. Bir de bu getirileri karşılaştırma ölçütleriyle kıyaslayalım.</w:t>
      </w:r>
    </w:p>
    <w:tbl>
      <w:tblPr>
        <w:tblStyle w:val="KlavuzTablo5Koyu-Vurgu3"/>
        <w:tblW w:w="0" w:type="auto"/>
        <w:tblLayout w:type="fixed"/>
        <w:tblLook w:val="04A0" w:firstRow="1" w:lastRow="0" w:firstColumn="1" w:lastColumn="0" w:noHBand="0" w:noVBand="1"/>
      </w:tblPr>
      <w:tblGrid>
        <w:gridCol w:w="1369"/>
        <w:gridCol w:w="961"/>
        <w:gridCol w:w="962"/>
        <w:gridCol w:w="961"/>
        <w:gridCol w:w="962"/>
        <w:gridCol w:w="962"/>
        <w:gridCol w:w="961"/>
        <w:gridCol w:w="962"/>
        <w:gridCol w:w="962"/>
      </w:tblGrid>
      <w:tr w:rsidR="00E60D4E" w:rsidRPr="00E60D4E" w:rsidTr="00D55D2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9" w:type="dxa"/>
          </w:tcPr>
          <w:p w:rsidR="00E60D4E" w:rsidRPr="00E60D4E" w:rsidRDefault="00E60D4E" w:rsidP="00A50260">
            <w:pPr>
              <w:jc w:val="both"/>
              <w:rPr>
                <w:sz w:val="18"/>
                <w:szCs w:val="24"/>
              </w:rPr>
            </w:pPr>
          </w:p>
        </w:tc>
        <w:tc>
          <w:tcPr>
            <w:tcW w:w="961" w:type="dxa"/>
            <w:shd w:val="clear" w:color="auto" w:fill="FFC000"/>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sidRPr="00E60D4E">
              <w:rPr>
                <w:sz w:val="18"/>
                <w:szCs w:val="24"/>
              </w:rPr>
              <w:t>Altın Emeklilik Fonları</w:t>
            </w:r>
          </w:p>
        </w:tc>
        <w:tc>
          <w:tcPr>
            <w:tcW w:w="962" w:type="dxa"/>
            <w:shd w:val="clear" w:color="auto" w:fill="FFC000"/>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Pr>
                <w:sz w:val="18"/>
                <w:szCs w:val="24"/>
              </w:rPr>
              <w:t>Çeyrek Altın</w:t>
            </w:r>
          </w:p>
        </w:tc>
        <w:tc>
          <w:tcPr>
            <w:tcW w:w="961" w:type="dxa"/>
            <w:shd w:val="clear" w:color="auto" w:fill="70AD47" w:themeFill="accent6"/>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sidRPr="00E60D4E">
              <w:rPr>
                <w:sz w:val="18"/>
                <w:szCs w:val="24"/>
              </w:rPr>
              <w:t>Hisse Emeklilik Fonları</w:t>
            </w:r>
          </w:p>
        </w:tc>
        <w:tc>
          <w:tcPr>
            <w:tcW w:w="962" w:type="dxa"/>
            <w:shd w:val="clear" w:color="auto" w:fill="70AD47" w:themeFill="accent6"/>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sidRPr="00E60D4E">
              <w:rPr>
                <w:sz w:val="18"/>
                <w:szCs w:val="24"/>
              </w:rPr>
              <w:t>BIST-100 Endeksi</w:t>
            </w:r>
          </w:p>
        </w:tc>
        <w:tc>
          <w:tcPr>
            <w:tcW w:w="962" w:type="dxa"/>
            <w:shd w:val="clear" w:color="auto" w:fill="2E74B5" w:themeFill="accent1" w:themeFillShade="BF"/>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Pr>
                <w:sz w:val="18"/>
                <w:szCs w:val="24"/>
              </w:rPr>
              <w:t>Döviz Fonları</w:t>
            </w:r>
          </w:p>
        </w:tc>
        <w:tc>
          <w:tcPr>
            <w:tcW w:w="961" w:type="dxa"/>
            <w:shd w:val="clear" w:color="auto" w:fill="2E74B5" w:themeFill="accent1" w:themeFillShade="BF"/>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Pr>
                <w:sz w:val="18"/>
                <w:szCs w:val="24"/>
              </w:rPr>
              <w:t>Döviz Sepeti</w:t>
            </w:r>
          </w:p>
        </w:tc>
        <w:tc>
          <w:tcPr>
            <w:tcW w:w="962" w:type="dxa"/>
            <w:shd w:val="clear" w:color="auto" w:fill="FF0000"/>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Pr>
                <w:sz w:val="18"/>
                <w:szCs w:val="24"/>
              </w:rPr>
              <w:t>Tahvil Fonları</w:t>
            </w:r>
          </w:p>
        </w:tc>
        <w:tc>
          <w:tcPr>
            <w:tcW w:w="962" w:type="dxa"/>
            <w:shd w:val="clear" w:color="auto" w:fill="FF0000"/>
          </w:tcPr>
          <w:p w:rsidR="00E60D4E" w:rsidRPr="00E60D4E" w:rsidRDefault="00E60D4E" w:rsidP="00A50260">
            <w:pPr>
              <w:jc w:val="center"/>
              <w:cnfStyle w:val="100000000000" w:firstRow="1" w:lastRow="0" w:firstColumn="0" w:lastColumn="0" w:oddVBand="0" w:evenVBand="0" w:oddHBand="0" w:evenHBand="0" w:firstRowFirstColumn="0" w:firstRowLastColumn="0" w:lastRowFirstColumn="0" w:lastRowLastColumn="0"/>
              <w:rPr>
                <w:sz w:val="18"/>
                <w:szCs w:val="24"/>
              </w:rPr>
            </w:pPr>
            <w:r>
              <w:rPr>
                <w:sz w:val="18"/>
                <w:szCs w:val="24"/>
              </w:rPr>
              <w:t>Tahvil Endeksi</w:t>
            </w:r>
          </w:p>
        </w:tc>
      </w:tr>
      <w:tr w:rsidR="00E60D4E" w:rsidRPr="00E60D4E" w:rsidTr="00D55D2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69" w:type="dxa"/>
          </w:tcPr>
          <w:p w:rsidR="00E60D4E" w:rsidRPr="00E60D4E" w:rsidRDefault="00E60D4E" w:rsidP="00A50260">
            <w:pPr>
              <w:jc w:val="both"/>
              <w:rPr>
                <w:sz w:val="18"/>
                <w:szCs w:val="24"/>
              </w:rPr>
            </w:pPr>
            <w:r w:rsidRPr="00E60D4E">
              <w:rPr>
                <w:sz w:val="18"/>
                <w:szCs w:val="24"/>
              </w:rPr>
              <w:t>Ağırlıklı Ortalama Getiri</w:t>
            </w:r>
            <w:r w:rsidR="00C65A9B">
              <w:rPr>
                <w:sz w:val="18"/>
                <w:szCs w:val="24"/>
              </w:rPr>
              <w:t xml:space="preserve"> (yüzde)</w:t>
            </w:r>
          </w:p>
        </w:tc>
        <w:tc>
          <w:tcPr>
            <w:tcW w:w="961" w:type="dxa"/>
            <w:shd w:val="clear" w:color="auto" w:fill="FFC000"/>
          </w:tcPr>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E60D4E"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32</w:t>
            </w:r>
          </w:p>
        </w:tc>
        <w:tc>
          <w:tcPr>
            <w:tcW w:w="962" w:type="dxa"/>
            <w:shd w:val="clear" w:color="auto" w:fill="FFC000"/>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32</w:t>
            </w:r>
          </w:p>
        </w:tc>
        <w:tc>
          <w:tcPr>
            <w:tcW w:w="961" w:type="dxa"/>
            <w:shd w:val="clear" w:color="auto" w:fill="70AD47" w:themeFill="accent6"/>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-11</w:t>
            </w:r>
          </w:p>
        </w:tc>
        <w:tc>
          <w:tcPr>
            <w:tcW w:w="962" w:type="dxa"/>
            <w:shd w:val="clear" w:color="auto" w:fill="70AD47" w:themeFill="accent6"/>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-13</w:t>
            </w:r>
          </w:p>
        </w:tc>
        <w:tc>
          <w:tcPr>
            <w:tcW w:w="962" w:type="dxa"/>
            <w:shd w:val="clear" w:color="auto" w:fill="2E74B5" w:themeFill="accent1" w:themeFillShade="BF"/>
          </w:tcPr>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E60D4E"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7</w:t>
            </w:r>
          </w:p>
        </w:tc>
        <w:tc>
          <w:tcPr>
            <w:tcW w:w="961" w:type="dxa"/>
            <w:shd w:val="clear" w:color="auto" w:fill="2E74B5" w:themeFill="accent1" w:themeFillShade="BF"/>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15</w:t>
            </w:r>
          </w:p>
        </w:tc>
        <w:tc>
          <w:tcPr>
            <w:tcW w:w="962" w:type="dxa"/>
            <w:shd w:val="clear" w:color="auto" w:fill="FF0000"/>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5</w:t>
            </w:r>
          </w:p>
        </w:tc>
        <w:tc>
          <w:tcPr>
            <w:tcW w:w="962" w:type="dxa"/>
            <w:shd w:val="clear" w:color="auto" w:fill="FF0000"/>
          </w:tcPr>
          <w:p w:rsidR="00E60D4E" w:rsidRPr="00AE09B0" w:rsidRDefault="00E60D4E"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p>
          <w:p w:rsidR="00C65A9B" w:rsidRPr="00AE09B0" w:rsidRDefault="00C65A9B" w:rsidP="00A50260">
            <w:pPr>
              <w:jc w:val="center"/>
              <w:cnfStyle w:val="000000100000" w:firstRow="0" w:lastRow="0" w:firstColumn="0" w:lastColumn="0" w:oddVBand="0" w:evenVBand="0" w:oddHBand="1" w:evenHBand="0" w:firstRowFirstColumn="0" w:firstRowLastColumn="0" w:lastRowFirstColumn="0" w:lastRowLastColumn="0"/>
              <w:rPr>
                <w:b/>
                <w:color w:val="FFFFFF" w:themeColor="background1"/>
                <w:szCs w:val="24"/>
              </w:rPr>
            </w:pPr>
            <w:r w:rsidRPr="00AE09B0">
              <w:rPr>
                <w:b/>
                <w:color w:val="FFFFFF" w:themeColor="background1"/>
                <w:szCs w:val="24"/>
              </w:rPr>
              <w:t>6</w:t>
            </w:r>
          </w:p>
        </w:tc>
      </w:tr>
    </w:tbl>
    <w:p w:rsidR="00A94BDE" w:rsidRDefault="00A94BDE" w:rsidP="00CC138C">
      <w:pPr>
        <w:jc w:val="both"/>
        <w:rPr>
          <w:sz w:val="24"/>
          <w:szCs w:val="24"/>
        </w:rPr>
      </w:pPr>
    </w:p>
    <w:p w:rsidR="0046561C" w:rsidRDefault="0046561C" w:rsidP="00CC138C">
      <w:pPr>
        <w:jc w:val="both"/>
        <w:rPr>
          <w:sz w:val="24"/>
          <w:szCs w:val="24"/>
        </w:rPr>
      </w:pPr>
      <w:r>
        <w:rPr>
          <w:sz w:val="24"/>
          <w:szCs w:val="24"/>
        </w:rPr>
        <w:t xml:space="preserve">Altın fonları, altındaki fiyat artışını birebir yansıtmış ve 4 ayda katılımcısına yüzde 32 kazandırarak yeni bir rekor kırmış. </w:t>
      </w:r>
    </w:p>
    <w:p w:rsidR="0046561C" w:rsidRDefault="00EF377B" w:rsidP="00CC138C">
      <w:pPr>
        <w:jc w:val="both"/>
        <w:rPr>
          <w:sz w:val="24"/>
          <w:szCs w:val="24"/>
        </w:rPr>
      </w:pPr>
      <w:r>
        <w:rPr>
          <w:sz w:val="24"/>
          <w:szCs w:val="24"/>
        </w:rPr>
        <w:t xml:space="preserve">Döviz bu kadar yükselirken döviz fonları neden bu artışı yakalayamıyor? Bu en sık sorulan sorulardan biri. Döviz fonları portföylerine </w:t>
      </w:r>
      <w:r>
        <w:rPr>
          <w:sz w:val="24"/>
          <w:szCs w:val="24"/>
        </w:rPr>
        <w:t xml:space="preserve">direkt </w:t>
      </w:r>
      <w:r>
        <w:rPr>
          <w:sz w:val="24"/>
          <w:szCs w:val="24"/>
        </w:rPr>
        <w:t xml:space="preserve">döviz alamıyorlar. Onlar Kamu Dış Borçlanma Araçları’nı portföylerine katıyorlar. Borçlanma araçları (kısaca tahvil de diyebiliriz) faiz oranlarındaki yükselişten olumsuz etkilenir. Bu dönemde de faizler yükseldiği için tahviller </w:t>
      </w:r>
      <w:r>
        <w:rPr>
          <w:sz w:val="24"/>
          <w:szCs w:val="24"/>
        </w:rPr>
        <w:lastRenderedPageBreak/>
        <w:t>değer kaybına uğra</w:t>
      </w:r>
      <w:r w:rsidR="00D202F3">
        <w:rPr>
          <w:sz w:val="24"/>
          <w:szCs w:val="24"/>
        </w:rPr>
        <w:t>mış</w:t>
      </w:r>
      <w:r>
        <w:rPr>
          <w:sz w:val="24"/>
          <w:szCs w:val="24"/>
        </w:rPr>
        <w:t>. Bu nedenle dövizdeki olumlu etkinin bi</w:t>
      </w:r>
      <w:r w:rsidR="00D202F3">
        <w:rPr>
          <w:sz w:val="24"/>
          <w:szCs w:val="24"/>
        </w:rPr>
        <w:t>r kısmı bu kayıpla silinmiş</w:t>
      </w:r>
      <w:r>
        <w:rPr>
          <w:sz w:val="24"/>
          <w:szCs w:val="24"/>
        </w:rPr>
        <w:t>.</w:t>
      </w:r>
    </w:p>
    <w:p w:rsidR="00C9133C" w:rsidRDefault="00C9133C" w:rsidP="00C9133C">
      <w:pPr>
        <w:jc w:val="both"/>
        <w:rPr>
          <w:sz w:val="24"/>
          <w:szCs w:val="24"/>
        </w:rPr>
      </w:pPr>
      <w:r>
        <w:rPr>
          <w:sz w:val="24"/>
          <w:szCs w:val="24"/>
        </w:rPr>
        <w:t>Hisse fonları, piyasadaki düşüşten etkilenerek negatif değerler yazmı</w:t>
      </w:r>
      <w:r w:rsidR="00D202F3">
        <w:rPr>
          <w:sz w:val="24"/>
          <w:szCs w:val="24"/>
        </w:rPr>
        <w:t>ş</w:t>
      </w:r>
      <w:r>
        <w:rPr>
          <w:sz w:val="24"/>
          <w:szCs w:val="24"/>
        </w:rPr>
        <w:t>. Ancak burada önemli nokta, hisse emeklilik fonlarındaki düşüş BIST-100 Endeksi’ndeki düşüşten daha az. Dolayısıyla hisse fon yöneticisinin katılımcısını borsadaki düşüşten bir nebze koruduğunu söylemek mümkün.</w:t>
      </w:r>
    </w:p>
    <w:p w:rsidR="00A72CDE" w:rsidRDefault="002B59EA" w:rsidP="00D93833">
      <w:pPr>
        <w:jc w:val="both"/>
        <w:rPr>
          <w:sz w:val="24"/>
          <w:szCs w:val="24"/>
        </w:rPr>
      </w:pPr>
      <w:r>
        <w:rPr>
          <w:sz w:val="24"/>
          <w:szCs w:val="24"/>
        </w:rPr>
        <w:t xml:space="preserve">Emeklilik fonlarının tümünün ağırlıklı ortalama getirisi ise yüzde 9 düzeyinde gerçekleşmiş. Tabii bunu genel ortalamadan söylüyoruz. Her fon için geçerlidir diyemeyiz. Dolayısıyla katılımcılar kendi fonları özelinde getirilere bakarak kazanç ve kayıplarını </w:t>
      </w:r>
      <w:r w:rsidR="00D93833">
        <w:rPr>
          <w:sz w:val="24"/>
          <w:szCs w:val="24"/>
        </w:rPr>
        <w:t>izleyebilirler.</w:t>
      </w:r>
    </w:p>
    <w:p w:rsidR="00A72CDE" w:rsidRPr="00A72CDE" w:rsidRDefault="00A72CDE" w:rsidP="00D93833">
      <w:pPr>
        <w:jc w:val="both"/>
        <w:rPr>
          <w:b/>
          <w:i/>
          <w:sz w:val="24"/>
          <w:szCs w:val="24"/>
          <w:u w:val="single"/>
        </w:rPr>
      </w:pPr>
      <w:r w:rsidRPr="00A72CDE">
        <w:rPr>
          <w:b/>
          <w:i/>
          <w:sz w:val="24"/>
          <w:szCs w:val="24"/>
          <w:u w:val="single"/>
        </w:rPr>
        <w:t>Peki Ya Bundan Sonra??</w:t>
      </w:r>
    </w:p>
    <w:p w:rsidR="00CC138C" w:rsidRDefault="00A72CDE" w:rsidP="00D93833">
      <w:pPr>
        <w:jc w:val="both"/>
        <w:rPr>
          <w:sz w:val="24"/>
          <w:szCs w:val="24"/>
        </w:rPr>
      </w:pPr>
      <w:r w:rsidRPr="00A72CDE">
        <w:rPr>
          <w:sz w:val="24"/>
          <w:szCs w:val="24"/>
        </w:rPr>
        <w:t>Dünyanın topyekün yaşamakta olduğu bu pandemi krizi nedeniyle hükümetler ve merkez bankaları çok ciddi paketler açıkladı. TCMB de diğer merkez bankalarıyla paralel hareket ediyor. Daha önceki krizlerde de benzerini yaşamıştık. MB’ler piyasaya para verdikten sonra bunu kriz sonrasında geri çekmiyorlar. Bu paralar da birkaç yıl içinde borsalara gidiyor ve borsalar daha önceki en yüksek değerlerini aşarak yeni rekorlar kırıyorlar.</w:t>
      </w:r>
      <w:r>
        <w:rPr>
          <w:sz w:val="24"/>
          <w:szCs w:val="24"/>
        </w:rPr>
        <w:t xml:space="preserve"> Bunu da tahminlerimiz içinde bir not</w:t>
      </w:r>
      <w:r w:rsidR="008B5A81">
        <w:rPr>
          <w:sz w:val="24"/>
          <w:szCs w:val="24"/>
        </w:rPr>
        <w:t xml:space="preserve"> olarak tutmamız</w:t>
      </w:r>
      <w:bookmarkStart w:id="0" w:name="_GoBack"/>
      <w:bookmarkEnd w:id="0"/>
      <w:r>
        <w:rPr>
          <w:sz w:val="24"/>
          <w:szCs w:val="24"/>
        </w:rPr>
        <w:t>da fayda var.</w:t>
      </w:r>
      <w:r w:rsidRPr="00A72CDE">
        <w:rPr>
          <w:sz w:val="24"/>
          <w:szCs w:val="24"/>
        </w:rPr>
        <w:t xml:space="preserve">   </w:t>
      </w:r>
      <w:r w:rsidR="00B31447">
        <w:rPr>
          <w:sz w:val="24"/>
          <w:szCs w:val="24"/>
        </w:rPr>
        <w:t xml:space="preserve"> </w:t>
      </w:r>
    </w:p>
    <w:p w:rsidR="0011243F" w:rsidRDefault="0011243F" w:rsidP="00CC138C">
      <w:pPr>
        <w:spacing w:line="360" w:lineRule="auto"/>
        <w:jc w:val="both"/>
        <w:rPr>
          <w:b/>
          <w:color w:val="222222"/>
          <w:sz w:val="24"/>
          <w:lang w:val="en"/>
        </w:rPr>
      </w:pPr>
    </w:p>
    <w:sectPr w:rsidR="001124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5A" w:rsidRDefault="00E0555A" w:rsidP="00A5247D">
      <w:pPr>
        <w:spacing w:after="0" w:line="240" w:lineRule="auto"/>
      </w:pPr>
      <w:r>
        <w:separator/>
      </w:r>
    </w:p>
  </w:endnote>
  <w:endnote w:type="continuationSeparator" w:id="0">
    <w:p w:rsidR="00E0555A" w:rsidRDefault="00E0555A" w:rsidP="00A5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5A" w:rsidRDefault="00E0555A" w:rsidP="00A5247D">
      <w:pPr>
        <w:spacing w:after="0" w:line="240" w:lineRule="auto"/>
      </w:pPr>
      <w:r>
        <w:separator/>
      </w:r>
    </w:p>
  </w:footnote>
  <w:footnote w:type="continuationSeparator" w:id="0">
    <w:p w:rsidR="00E0555A" w:rsidRDefault="00E0555A" w:rsidP="00A52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1.55pt;height:11.55pt" o:bullet="t">
        <v:imagedata r:id="rId1" o:title="msoFC71"/>
      </v:shape>
    </w:pict>
  </w:numPicBullet>
  <w:abstractNum w:abstractNumId="0" w15:restartNumberingAfterBreak="0">
    <w:nsid w:val="13AE3062"/>
    <w:multiLevelType w:val="hybridMultilevel"/>
    <w:tmpl w:val="B9881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AB5BB8"/>
    <w:multiLevelType w:val="hybridMultilevel"/>
    <w:tmpl w:val="199610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6B7696"/>
    <w:multiLevelType w:val="hybridMultilevel"/>
    <w:tmpl w:val="82300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854E10"/>
    <w:multiLevelType w:val="hybridMultilevel"/>
    <w:tmpl w:val="0444E6AA"/>
    <w:lvl w:ilvl="0" w:tplc="041F000B">
      <w:start w:val="1"/>
      <w:numFmt w:val="bullet"/>
      <w:lvlText w:val=""/>
      <w:lvlJc w:val="left"/>
      <w:pPr>
        <w:ind w:left="778" w:hanging="360"/>
      </w:pPr>
      <w:rPr>
        <w:rFonts w:ascii="Wingdings" w:hAnsi="Wingdings"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4" w15:restartNumberingAfterBreak="0">
    <w:nsid w:val="79CD0969"/>
    <w:multiLevelType w:val="hybridMultilevel"/>
    <w:tmpl w:val="B7083288"/>
    <w:lvl w:ilvl="0" w:tplc="CCCC2C2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F58BB"/>
    <w:multiLevelType w:val="hybridMultilevel"/>
    <w:tmpl w:val="9300E552"/>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CC"/>
    <w:rsid w:val="000060AB"/>
    <w:rsid w:val="00015180"/>
    <w:rsid w:val="00035927"/>
    <w:rsid w:val="000952EB"/>
    <w:rsid w:val="000B0A14"/>
    <w:rsid w:val="000B6184"/>
    <w:rsid w:val="000D4BB0"/>
    <w:rsid w:val="000E7D8D"/>
    <w:rsid w:val="0011243F"/>
    <w:rsid w:val="00116FFB"/>
    <w:rsid w:val="001229BB"/>
    <w:rsid w:val="001F4587"/>
    <w:rsid w:val="00204F0F"/>
    <w:rsid w:val="002111B9"/>
    <w:rsid w:val="002A6023"/>
    <w:rsid w:val="002B4658"/>
    <w:rsid w:val="002B59EA"/>
    <w:rsid w:val="002E5112"/>
    <w:rsid w:val="003245EB"/>
    <w:rsid w:val="003408BB"/>
    <w:rsid w:val="00355AD5"/>
    <w:rsid w:val="00371AB3"/>
    <w:rsid w:val="003A7134"/>
    <w:rsid w:val="003E16E6"/>
    <w:rsid w:val="003E5DB5"/>
    <w:rsid w:val="00434EE4"/>
    <w:rsid w:val="00463B5A"/>
    <w:rsid w:val="0046561C"/>
    <w:rsid w:val="0050234C"/>
    <w:rsid w:val="00532293"/>
    <w:rsid w:val="0057139A"/>
    <w:rsid w:val="005B22C3"/>
    <w:rsid w:val="005F4ECC"/>
    <w:rsid w:val="00616E07"/>
    <w:rsid w:val="00624D4B"/>
    <w:rsid w:val="006C3D9B"/>
    <w:rsid w:val="006F71F2"/>
    <w:rsid w:val="00712B20"/>
    <w:rsid w:val="00770FE0"/>
    <w:rsid w:val="007E6CC6"/>
    <w:rsid w:val="0084317D"/>
    <w:rsid w:val="00847B38"/>
    <w:rsid w:val="00884F65"/>
    <w:rsid w:val="00885A7C"/>
    <w:rsid w:val="008B5A81"/>
    <w:rsid w:val="008D2629"/>
    <w:rsid w:val="00936C25"/>
    <w:rsid w:val="00945565"/>
    <w:rsid w:val="009473C3"/>
    <w:rsid w:val="00972B41"/>
    <w:rsid w:val="00981951"/>
    <w:rsid w:val="009E0713"/>
    <w:rsid w:val="009E12F0"/>
    <w:rsid w:val="009E2FD2"/>
    <w:rsid w:val="00A5247D"/>
    <w:rsid w:val="00A72CDE"/>
    <w:rsid w:val="00A76692"/>
    <w:rsid w:val="00A80829"/>
    <w:rsid w:val="00A92518"/>
    <w:rsid w:val="00A94BDE"/>
    <w:rsid w:val="00AE09B0"/>
    <w:rsid w:val="00AF0B7D"/>
    <w:rsid w:val="00B168D8"/>
    <w:rsid w:val="00B31447"/>
    <w:rsid w:val="00B845E5"/>
    <w:rsid w:val="00C01A35"/>
    <w:rsid w:val="00C258BB"/>
    <w:rsid w:val="00C65A9B"/>
    <w:rsid w:val="00C733CA"/>
    <w:rsid w:val="00C9133C"/>
    <w:rsid w:val="00C9234D"/>
    <w:rsid w:val="00CB01BF"/>
    <w:rsid w:val="00CC138C"/>
    <w:rsid w:val="00D202F3"/>
    <w:rsid w:val="00D55D2D"/>
    <w:rsid w:val="00D93833"/>
    <w:rsid w:val="00DD52C8"/>
    <w:rsid w:val="00DD6727"/>
    <w:rsid w:val="00E0555A"/>
    <w:rsid w:val="00E123C1"/>
    <w:rsid w:val="00E36CE1"/>
    <w:rsid w:val="00E5282E"/>
    <w:rsid w:val="00E56465"/>
    <w:rsid w:val="00E576BF"/>
    <w:rsid w:val="00E60D4E"/>
    <w:rsid w:val="00E84BA7"/>
    <w:rsid w:val="00EA04D2"/>
    <w:rsid w:val="00EC4AE8"/>
    <w:rsid w:val="00EF377B"/>
    <w:rsid w:val="00F32E8E"/>
    <w:rsid w:val="00F36ABB"/>
    <w:rsid w:val="00F420F6"/>
    <w:rsid w:val="00F503E3"/>
    <w:rsid w:val="00F66019"/>
    <w:rsid w:val="00F66136"/>
    <w:rsid w:val="00FC3FF6"/>
    <w:rsid w:val="00FC465E"/>
    <w:rsid w:val="00FF1311"/>
    <w:rsid w:val="00FF4D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5CC1"/>
  <w15:chartTrackingRefBased/>
  <w15:docId w15:val="{88DF4520-FD16-4EB6-B306-A6CB3B53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CC6"/>
    <w:pPr>
      <w:spacing w:after="200" w:line="276" w:lineRule="auto"/>
    </w:pPr>
  </w:style>
  <w:style w:type="paragraph" w:styleId="Balk1">
    <w:name w:val="heading 1"/>
    <w:basedOn w:val="Normal"/>
    <w:next w:val="Normal"/>
    <w:link w:val="Balk1Char"/>
    <w:uiPriority w:val="9"/>
    <w:qFormat/>
    <w:rsid w:val="00F32E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9E2FD2"/>
    <w:rPr>
      <w:b/>
      <w:bCs/>
      <w:i w:val="0"/>
      <w:iCs w:val="0"/>
      <w:color w:val="2B2A29"/>
      <w:sz w:val="22"/>
      <w:szCs w:val="22"/>
    </w:rPr>
  </w:style>
  <w:style w:type="table" w:styleId="TabloKlavuzu">
    <w:name w:val="Table Grid"/>
    <w:basedOn w:val="NormalTablo"/>
    <w:uiPriority w:val="39"/>
    <w:rsid w:val="00FC4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lo3-Vurgu1">
    <w:name w:val="List Table 3 Accent 1"/>
    <w:basedOn w:val="NormalTablo"/>
    <w:uiPriority w:val="48"/>
    <w:rsid w:val="00981951"/>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eParagraf">
    <w:name w:val="List Paragraph"/>
    <w:basedOn w:val="Normal"/>
    <w:uiPriority w:val="34"/>
    <w:qFormat/>
    <w:rsid w:val="003E5DB5"/>
    <w:pPr>
      <w:ind w:left="720"/>
      <w:contextualSpacing/>
    </w:pPr>
  </w:style>
  <w:style w:type="table" w:customStyle="1" w:styleId="KlavuzTablo5Koyu-Vurgu11">
    <w:name w:val="Kılavuz Tablo 5 Koyu - Vurgu 11"/>
    <w:basedOn w:val="NormalTablo"/>
    <w:uiPriority w:val="50"/>
    <w:rsid w:val="003E5D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DipnotMetni">
    <w:name w:val="footnote text"/>
    <w:basedOn w:val="Normal"/>
    <w:link w:val="DipnotMetniChar"/>
    <w:uiPriority w:val="99"/>
    <w:semiHidden/>
    <w:unhideWhenUsed/>
    <w:rsid w:val="00A5247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5247D"/>
    <w:rPr>
      <w:sz w:val="20"/>
      <w:szCs w:val="20"/>
    </w:rPr>
  </w:style>
  <w:style w:type="character" w:styleId="DipnotBavurusu">
    <w:name w:val="footnote reference"/>
    <w:basedOn w:val="VarsaylanParagrafYazTipi"/>
    <w:uiPriority w:val="99"/>
    <w:semiHidden/>
    <w:unhideWhenUsed/>
    <w:rsid w:val="00A5247D"/>
    <w:rPr>
      <w:vertAlign w:val="superscript"/>
    </w:rPr>
  </w:style>
  <w:style w:type="table" w:styleId="KlavuzTablo2-Vurgu5">
    <w:name w:val="Grid Table 2 Accent 5"/>
    <w:basedOn w:val="NormalTablo"/>
    <w:uiPriority w:val="47"/>
    <w:rsid w:val="000B0A14"/>
    <w:pPr>
      <w:spacing w:after="0" w:line="240" w:lineRule="auto"/>
    </w:pPr>
    <w:rPr>
      <w:lang w:val="en-US"/>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F420F6"/>
    <w:pPr>
      <w:autoSpaceDE w:val="0"/>
      <w:autoSpaceDN w:val="0"/>
      <w:adjustRightInd w:val="0"/>
      <w:spacing w:after="0" w:line="240" w:lineRule="auto"/>
    </w:pPr>
    <w:rPr>
      <w:rFonts w:ascii="Calibri" w:hAnsi="Calibri" w:cs="Calibri"/>
      <w:color w:val="000000"/>
      <w:sz w:val="24"/>
      <w:szCs w:val="24"/>
    </w:rPr>
  </w:style>
  <w:style w:type="character" w:customStyle="1" w:styleId="Balk1Char">
    <w:name w:val="Başlık 1 Char"/>
    <w:basedOn w:val="VarsaylanParagrafYazTipi"/>
    <w:link w:val="Balk1"/>
    <w:uiPriority w:val="9"/>
    <w:rsid w:val="00F32E8E"/>
    <w:rPr>
      <w:rFonts w:asciiTheme="majorHAnsi" w:eastAsiaTheme="majorEastAsia" w:hAnsiTheme="majorHAnsi" w:cstheme="majorBidi"/>
      <w:color w:val="2E74B5" w:themeColor="accent1" w:themeShade="BF"/>
      <w:sz w:val="32"/>
      <w:szCs w:val="32"/>
    </w:rPr>
  </w:style>
  <w:style w:type="table" w:styleId="KlavuzuTablo4-Vurgu5">
    <w:name w:val="Grid Table 4 Accent 5"/>
    <w:basedOn w:val="NormalTablo"/>
    <w:uiPriority w:val="49"/>
    <w:rsid w:val="00F32E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11">
    <w:name w:val="Kılavuzu Tablo 4 - Vurgu 11"/>
    <w:basedOn w:val="NormalTablo"/>
    <w:uiPriority w:val="49"/>
    <w:rsid w:val="009E12F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1Ak-Vurgu1">
    <w:name w:val="Grid Table 1 Light Accent 1"/>
    <w:basedOn w:val="NormalTablo"/>
    <w:uiPriority w:val="46"/>
    <w:rsid w:val="006C3D9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KlavuzuTablo4-Vurgu1">
    <w:name w:val="Grid Table 4 Accent 1"/>
    <w:basedOn w:val="NormalTablo"/>
    <w:uiPriority w:val="49"/>
    <w:rsid w:val="006C3D9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KlavuzTablo5Koyu-Vurgu1">
    <w:name w:val="Grid Table 5 Dark Accent 1"/>
    <w:basedOn w:val="NormalTablo"/>
    <w:uiPriority w:val="50"/>
    <w:rsid w:val="006C3D9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KlavuzTablo5Koyu-Vurgu4">
    <w:name w:val="Grid Table 5 Dark Accent 4"/>
    <w:basedOn w:val="NormalTablo"/>
    <w:uiPriority w:val="50"/>
    <w:rsid w:val="0003592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KlavuzTablo5Koyu-Vurgu3">
    <w:name w:val="Grid Table 5 Dark Accent 3"/>
    <w:basedOn w:val="NormalTablo"/>
    <w:uiPriority w:val="50"/>
    <w:rsid w:val="00E60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810</Words>
  <Characters>4621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Serra Eren</cp:lastModifiedBy>
  <cp:revision>72</cp:revision>
  <dcterms:created xsi:type="dcterms:W3CDTF">2018-07-11T03:31:00Z</dcterms:created>
  <dcterms:modified xsi:type="dcterms:W3CDTF">2020-04-30T07:25:00Z</dcterms:modified>
</cp:coreProperties>
</file>